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1FAF8" w14:textId="67C7771E" w:rsidR="009D700D" w:rsidRPr="009D700D" w:rsidRDefault="009D700D" w:rsidP="009D700D">
      <w:pPr>
        <w:jc w:val="center"/>
        <w:rPr>
          <w:sz w:val="28"/>
          <w:szCs w:val="28"/>
        </w:rPr>
      </w:pPr>
      <w:r w:rsidRPr="009D700D">
        <w:rPr>
          <w:sz w:val="28"/>
          <w:szCs w:val="28"/>
        </w:rPr>
        <w:t xml:space="preserve">L’égalité </w:t>
      </w:r>
      <w:r w:rsidR="009A2447">
        <w:rPr>
          <w:sz w:val="28"/>
          <w:szCs w:val="28"/>
        </w:rPr>
        <w:t>profe</w:t>
      </w:r>
      <w:r w:rsidR="005D1CA8">
        <w:rPr>
          <w:sz w:val="28"/>
          <w:szCs w:val="28"/>
        </w:rPr>
        <w:t>s</w:t>
      </w:r>
      <w:r w:rsidR="009A2447">
        <w:rPr>
          <w:sz w:val="28"/>
          <w:szCs w:val="28"/>
        </w:rPr>
        <w:t>sionnelle</w:t>
      </w:r>
    </w:p>
    <w:p w14:paraId="2A16EA0F" w14:textId="6DD0D901" w:rsidR="009D700D" w:rsidRPr="009D700D" w:rsidRDefault="009D700D" w:rsidP="009D700D">
      <w:pPr>
        <w:jc w:val="center"/>
        <w:rPr>
          <w:sz w:val="28"/>
          <w:szCs w:val="28"/>
        </w:rPr>
      </w:pPr>
      <w:r w:rsidRPr="009D700D">
        <w:rPr>
          <w:sz w:val="28"/>
          <w:szCs w:val="28"/>
        </w:rPr>
        <w:t>au Centre Hospitalier de Bagnères de Bigorre</w:t>
      </w:r>
    </w:p>
    <w:p w14:paraId="39DBB9A0" w14:textId="77777777" w:rsidR="009D700D" w:rsidRDefault="009D700D" w:rsidP="009D700D"/>
    <w:p w14:paraId="012197FA" w14:textId="3A82195F" w:rsidR="009D700D" w:rsidRDefault="009D700D" w:rsidP="009D700D">
      <w:pPr>
        <w:jc w:val="both"/>
      </w:pPr>
      <w:r>
        <w:t xml:space="preserve">Dans le cadre de la promotion en faveur de l’égalité professionnelle, les décrets </w:t>
      </w:r>
      <w:r>
        <w:rPr>
          <w:b/>
          <w:bCs/>
        </w:rPr>
        <w:t xml:space="preserve">n°2024-948 et n°2024-949 du 21 octobre 2024 </w:t>
      </w:r>
      <w:r w:rsidR="00BD6A13">
        <w:t>ont introduit, pour l’ensemble des établissements publics de santé, l’obligation de calcul d’un index « égalité professionnelle ».</w:t>
      </w:r>
    </w:p>
    <w:p w14:paraId="00CFF112" w14:textId="49094797" w:rsidR="009D700D" w:rsidRDefault="009D700D" w:rsidP="009D700D">
      <w:pPr>
        <w:jc w:val="both"/>
      </w:pPr>
      <w:r>
        <w:t xml:space="preserve">Les établissements de santé et médico-sociaux relevant de la Fonction publique hospitalière (FPH) sont désormais tenus de calculer et de publier chaque année leurs résultats d’indicateurs sur la rémunération et la situation des femmes et des hommes, avec une note cible de 75 points. </w:t>
      </w:r>
    </w:p>
    <w:p w14:paraId="445FE933" w14:textId="77777777" w:rsidR="009D700D" w:rsidRDefault="009D700D" w:rsidP="009D700D">
      <w:pPr>
        <w:jc w:val="both"/>
      </w:pPr>
    </w:p>
    <w:p w14:paraId="2E822E91" w14:textId="09FD09A6" w:rsidR="009D700D" w:rsidRDefault="009D700D" w:rsidP="009D700D">
      <w:pPr>
        <w:jc w:val="both"/>
      </w:pPr>
      <w:r>
        <w:t xml:space="preserve">Outil instauré par la loi n° 2023-623 du 19 juillet 2023, l’Index </w:t>
      </w:r>
      <w:r w:rsidR="00BD6A13">
        <w:t xml:space="preserve">calculé sur </w:t>
      </w:r>
      <w:r>
        <w:t xml:space="preserve">une note sur 100 points, </w:t>
      </w:r>
      <w:r w:rsidR="009A2447">
        <w:t xml:space="preserve">prend en compte un ensemble de critères spécifiques </w:t>
      </w:r>
      <w:r>
        <w:t xml:space="preserve">de </w:t>
      </w:r>
      <w:r>
        <w:rPr>
          <w:b/>
          <w:bCs/>
        </w:rPr>
        <w:t>4 à 5 indicateurs</w:t>
      </w:r>
      <w:r>
        <w:t xml:space="preserve"> selon le budget de l’établissement.</w:t>
      </w:r>
    </w:p>
    <w:p w14:paraId="5BC76416" w14:textId="77777777" w:rsidR="009D700D" w:rsidRDefault="009D700D" w:rsidP="009D700D">
      <w:pPr>
        <w:jc w:val="both"/>
      </w:pPr>
    </w:p>
    <w:p w14:paraId="53414485" w14:textId="77777777" w:rsidR="009D700D" w:rsidRDefault="009D700D" w:rsidP="009D700D">
      <w:pPr>
        <w:jc w:val="both"/>
      </w:pPr>
      <w:r>
        <w:t xml:space="preserve">Le décret du 21 octobre 2024 instaure 4 indicateurs pour les établissements </w:t>
      </w:r>
      <w:r>
        <w:rPr>
          <w:b/>
          <w:bCs/>
        </w:rPr>
        <w:t>de plus de 50 agents</w:t>
      </w:r>
      <w:r>
        <w:t xml:space="preserve"> </w:t>
      </w:r>
      <w:r>
        <w:rPr>
          <w:b/>
          <w:bCs/>
        </w:rPr>
        <w:t>de la fonction publique hospitalière</w:t>
      </w:r>
      <w:r>
        <w:t> :</w:t>
      </w:r>
    </w:p>
    <w:p w14:paraId="09EE85FA" w14:textId="6AF22CF2" w:rsidR="009D700D" w:rsidRDefault="009A2447" w:rsidP="009D700D">
      <w:pPr>
        <w:numPr>
          <w:ilvl w:val="0"/>
          <w:numId w:val="1"/>
        </w:numPr>
        <w:jc w:val="both"/>
        <w:rPr>
          <w:rFonts w:eastAsia="Times New Roman"/>
        </w:rPr>
      </w:pPr>
      <w:r>
        <w:rPr>
          <w:rFonts w:eastAsia="Times New Roman"/>
        </w:rPr>
        <w:t xml:space="preserve">Indicateur 1 : </w:t>
      </w:r>
      <w:r w:rsidR="00BD6A13">
        <w:rPr>
          <w:rFonts w:eastAsia="Times New Roman"/>
        </w:rPr>
        <w:t>Écart</w:t>
      </w:r>
      <w:r w:rsidR="009D700D">
        <w:rPr>
          <w:rFonts w:eastAsia="Times New Roman"/>
        </w:rPr>
        <w:t xml:space="preserve"> global de rémunération entre les femmes et les hommes, pour les fonctionnaires et les praticiens hospitaliers</w:t>
      </w:r>
    </w:p>
    <w:p w14:paraId="1E966B44" w14:textId="0CC958F1" w:rsidR="009D700D" w:rsidRDefault="009A2447" w:rsidP="009D700D">
      <w:pPr>
        <w:numPr>
          <w:ilvl w:val="0"/>
          <w:numId w:val="1"/>
        </w:numPr>
        <w:jc w:val="both"/>
        <w:rPr>
          <w:rFonts w:eastAsia="Times New Roman"/>
        </w:rPr>
      </w:pPr>
      <w:r>
        <w:rPr>
          <w:rFonts w:eastAsia="Times New Roman"/>
        </w:rPr>
        <w:t xml:space="preserve">Indicateur 2 : </w:t>
      </w:r>
      <w:r w:rsidR="00BD6A13">
        <w:rPr>
          <w:rFonts w:eastAsia="Times New Roman"/>
        </w:rPr>
        <w:t>Écart</w:t>
      </w:r>
      <w:r w:rsidR="009D700D">
        <w:rPr>
          <w:rFonts w:eastAsia="Times New Roman"/>
        </w:rPr>
        <w:t xml:space="preserve"> global de rémunération entre les femmes et les hommes pour les agents contractuels et les praticiens contractuels</w:t>
      </w:r>
    </w:p>
    <w:p w14:paraId="0B9DBFF6" w14:textId="4F6DA51B" w:rsidR="009D700D" w:rsidRDefault="009A2447" w:rsidP="009D700D">
      <w:pPr>
        <w:numPr>
          <w:ilvl w:val="0"/>
          <w:numId w:val="1"/>
        </w:numPr>
        <w:jc w:val="both"/>
        <w:rPr>
          <w:rFonts w:eastAsia="Times New Roman"/>
        </w:rPr>
      </w:pPr>
      <w:r>
        <w:rPr>
          <w:rFonts w:eastAsia="Times New Roman"/>
        </w:rPr>
        <w:t>Indicateur 3 :</w:t>
      </w:r>
      <w:r w:rsidR="009D700D">
        <w:rPr>
          <w:rFonts w:eastAsia="Times New Roman"/>
        </w:rPr>
        <w:t xml:space="preserve"> </w:t>
      </w:r>
      <w:r w:rsidR="005D1CA8">
        <w:rPr>
          <w:rFonts w:eastAsia="Times New Roman"/>
        </w:rPr>
        <w:t xml:space="preserve">Écart </w:t>
      </w:r>
      <w:r w:rsidR="009D700D">
        <w:rPr>
          <w:rFonts w:eastAsia="Times New Roman"/>
        </w:rPr>
        <w:t>de taux de promotion de corps entre les femmes et les hommes</w:t>
      </w:r>
    </w:p>
    <w:p w14:paraId="3DD9F2F2" w14:textId="3E20933F" w:rsidR="009D700D" w:rsidRDefault="009A2447" w:rsidP="009D700D">
      <w:pPr>
        <w:numPr>
          <w:ilvl w:val="0"/>
          <w:numId w:val="1"/>
        </w:numPr>
        <w:jc w:val="both"/>
        <w:rPr>
          <w:rFonts w:eastAsia="Times New Roman"/>
        </w:rPr>
      </w:pPr>
      <w:r>
        <w:rPr>
          <w:rFonts w:eastAsia="Times New Roman"/>
        </w:rPr>
        <w:t xml:space="preserve">Indicateur 4 : </w:t>
      </w:r>
      <w:r w:rsidR="00BD6A13">
        <w:rPr>
          <w:rFonts w:eastAsia="Times New Roman"/>
        </w:rPr>
        <w:t>Écart</w:t>
      </w:r>
      <w:r w:rsidR="009D700D">
        <w:rPr>
          <w:rFonts w:eastAsia="Times New Roman"/>
        </w:rPr>
        <w:t xml:space="preserve"> de taux de promotion de garde entre les femmes et les hommes.</w:t>
      </w:r>
    </w:p>
    <w:p w14:paraId="375C815E" w14:textId="77777777" w:rsidR="009D700D" w:rsidRDefault="009D700D" w:rsidP="009D700D">
      <w:pPr>
        <w:jc w:val="both"/>
        <w:rPr>
          <w:b/>
          <w:bCs/>
        </w:rPr>
      </w:pPr>
    </w:p>
    <w:p w14:paraId="1EAD3923" w14:textId="77777777" w:rsidR="009D700D" w:rsidRDefault="009D700D" w:rsidP="009D700D">
      <w:pPr>
        <w:jc w:val="both"/>
        <w:rPr>
          <w:b/>
          <w:bCs/>
        </w:rPr>
      </w:pPr>
    </w:p>
    <w:p w14:paraId="6D49F8B1" w14:textId="3D81A804" w:rsidR="009D700D" w:rsidRPr="009D700D" w:rsidRDefault="009D700D" w:rsidP="009D700D">
      <w:pPr>
        <w:jc w:val="both"/>
        <w:rPr>
          <w:i/>
          <w:iCs/>
        </w:rPr>
      </w:pPr>
      <w:r w:rsidRPr="009D700D">
        <w:rPr>
          <w:i/>
          <w:iCs/>
        </w:rPr>
        <w:t>Un 5ème indicateur complète l’index égalité professionnelle pour les établissements dont le budget est supérieur à 200 millions d’€ (non concerné au CHBB) :</w:t>
      </w:r>
    </w:p>
    <w:p w14:paraId="49D682C8" w14:textId="0DCDE08C" w:rsidR="009D700D" w:rsidRPr="009D700D" w:rsidRDefault="00BD6A13" w:rsidP="009D700D">
      <w:pPr>
        <w:numPr>
          <w:ilvl w:val="0"/>
          <w:numId w:val="2"/>
        </w:numPr>
        <w:jc w:val="both"/>
        <w:rPr>
          <w:rFonts w:eastAsia="Times New Roman"/>
          <w:i/>
          <w:iCs/>
        </w:rPr>
      </w:pPr>
      <w:r w:rsidRPr="009D700D">
        <w:rPr>
          <w:rFonts w:eastAsia="Times New Roman"/>
          <w:i/>
          <w:iCs/>
        </w:rPr>
        <w:t>Le</w:t>
      </w:r>
      <w:r w:rsidR="009D700D" w:rsidRPr="009D700D">
        <w:rPr>
          <w:rFonts w:eastAsia="Times New Roman"/>
          <w:i/>
          <w:iCs/>
        </w:rPr>
        <w:t xml:space="preserve"> nombre d’agents publics du sexe sous-représenté parmi les 10 agents publics ayant perçu les plus hautes rémunérations.</w:t>
      </w:r>
    </w:p>
    <w:p w14:paraId="76146EEA" w14:textId="77777777" w:rsidR="009D700D" w:rsidRDefault="009D700D" w:rsidP="009D700D">
      <w:pPr>
        <w:jc w:val="both"/>
        <w:rPr>
          <w:rFonts w:eastAsia="Times New Roman"/>
        </w:rPr>
      </w:pPr>
    </w:p>
    <w:p w14:paraId="65EEAE6E" w14:textId="6EBF8FFF" w:rsidR="009D700D" w:rsidRDefault="009D700D" w:rsidP="009D700D">
      <w:pPr>
        <w:jc w:val="both"/>
        <w:rPr>
          <w:rFonts w:eastAsia="Times New Roman"/>
        </w:rPr>
      </w:pPr>
      <w:r>
        <w:rPr>
          <w:rFonts w:eastAsia="Times New Roman"/>
        </w:rPr>
        <w:t>Pour l’année 2025,</w:t>
      </w:r>
      <w:r w:rsidR="009A2447">
        <w:rPr>
          <w:rFonts w:eastAsia="Times New Roman"/>
        </w:rPr>
        <w:t xml:space="preserve"> l’index égalité du Centre Hospitalier de Bagnères de Bigorre s’élève à </w:t>
      </w:r>
      <w:r w:rsidR="00131443">
        <w:rPr>
          <w:rFonts w:eastAsia="Times New Roman"/>
          <w:b/>
          <w:bCs/>
        </w:rPr>
        <w:t>89</w:t>
      </w:r>
      <w:r w:rsidR="009A2447" w:rsidRPr="0005186A">
        <w:rPr>
          <w:rFonts w:eastAsia="Times New Roman"/>
          <w:b/>
          <w:bCs/>
        </w:rPr>
        <w:t>/100</w:t>
      </w:r>
      <w:r w:rsidR="009A2447">
        <w:rPr>
          <w:rFonts w:eastAsia="Times New Roman"/>
        </w:rPr>
        <w:t xml:space="preserve">, selon </w:t>
      </w:r>
      <w:r>
        <w:rPr>
          <w:rFonts w:eastAsia="Times New Roman"/>
        </w:rPr>
        <w:t>les résultats obtenus</w:t>
      </w:r>
      <w:r w:rsidR="009A2447">
        <w:rPr>
          <w:rFonts w:eastAsia="Times New Roman"/>
        </w:rPr>
        <w:t xml:space="preserve"> </w:t>
      </w:r>
      <w:r>
        <w:rPr>
          <w:rFonts w:eastAsia="Times New Roman"/>
        </w:rPr>
        <w:t>:</w:t>
      </w:r>
    </w:p>
    <w:p w14:paraId="4C328A4C" w14:textId="77777777" w:rsidR="009D700D" w:rsidRDefault="009D700D" w:rsidP="009D700D">
      <w:pPr>
        <w:jc w:val="both"/>
        <w:rPr>
          <w:rFonts w:eastAsia="Times New Roman"/>
        </w:rPr>
      </w:pPr>
    </w:p>
    <w:p w14:paraId="2456FE4A" w14:textId="77777777" w:rsidR="009D700D" w:rsidRDefault="009D700D" w:rsidP="009D700D">
      <w:pPr>
        <w:jc w:val="both"/>
        <w:rPr>
          <w:rFonts w:eastAsia="Times New Roman"/>
        </w:rPr>
      </w:pPr>
    </w:p>
    <w:tbl>
      <w:tblPr>
        <w:tblStyle w:val="Grilledutableau"/>
        <w:tblW w:w="0" w:type="auto"/>
        <w:tblLook w:val="04A0" w:firstRow="1" w:lastRow="0" w:firstColumn="1" w:lastColumn="0" w:noHBand="0" w:noVBand="1"/>
      </w:tblPr>
      <w:tblGrid>
        <w:gridCol w:w="3397"/>
        <w:gridCol w:w="1560"/>
        <w:gridCol w:w="1842"/>
        <w:gridCol w:w="1842"/>
      </w:tblGrid>
      <w:tr w:rsidR="0076426B" w:rsidRPr="009D700D" w14:paraId="25A14267" w14:textId="5C9AA6F4" w:rsidTr="00B33C37">
        <w:trPr>
          <w:trHeight w:val="378"/>
        </w:trPr>
        <w:tc>
          <w:tcPr>
            <w:tcW w:w="3397" w:type="dxa"/>
            <w:noWrap/>
            <w:hideMark/>
          </w:tcPr>
          <w:p w14:paraId="16D10E1C" w14:textId="77777777" w:rsidR="0076426B" w:rsidRPr="009D700D" w:rsidRDefault="0076426B" w:rsidP="009D700D">
            <w:pPr>
              <w:jc w:val="both"/>
              <w:rPr>
                <w:b/>
                <w:bCs/>
              </w:rPr>
            </w:pPr>
            <w:r w:rsidRPr="009D700D">
              <w:rPr>
                <w:b/>
                <w:bCs/>
              </w:rPr>
              <w:t>Index</w:t>
            </w:r>
          </w:p>
        </w:tc>
        <w:tc>
          <w:tcPr>
            <w:tcW w:w="1560" w:type="dxa"/>
            <w:noWrap/>
            <w:hideMark/>
          </w:tcPr>
          <w:p w14:paraId="6D16FAD2" w14:textId="3A6ECFC4" w:rsidR="0076426B" w:rsidRPr="000C4BB3" w:rsidRDefault="0076426B" w:rsidP="009A2447">
            <w:pPr>
              <w:jc w:val="right"/>
              <w:rPr>
                <w:i/>
                <w:iCs/>
              </w:rPr>
            </w:pPr>
            <w:r w:rsidRPr="000C4BB3">
              <w:rPr>
                <w:i/>
                <w:iCs/>
              </w:rPr>
              <w:t>Points Max</w:t>
            </w:r>
          </w:p>
        </w:tc>
        <w:tc>
          <w:tcPr>
            <w:tcW w:w="1842" w:type="dxa"/>
          </w:tcPr>
          <w:p w14:paraId="5F701074" w14:textId="02838468" w:rsidR="0076426B" w:rsidRPr="009D700D" w:rsidRDefault="0076426B" w:rsidP="009A2447">
            <w:pPr>
              <w:jc w:val="right"/>
              <w:rPr>
                <w:b/>
                <w:bCs/>
              </w:rPr>
            </w:pPr>
            <w:r>
              <w:rPr>
                <w:b/>
                <w:bCs/>
              </w:rPr>
              <w:t>Points obtenus</w:t>
            </w:r>
          </w:p>
        </w:tc>
        <w:tc>
          <w:tcPr>
            <w:tcW w:w="1842" w:type="dxa"/>
          </w:tcPr>
          <w:p w14:paraId="3403BA5B" w14:textId="74F5E7E8" w:rsidR="0076426B" w:rsidRPr="000C4BB3" w:rsidRDefault="0076426B" w:rsidP="009A2447">
            <w:pPr>
              <w:jc w:val="right"/>
            </w:pPr>
            <w:r w:rsidRPr="000C4BB3">
              <w:t>Pondération</w:t>
            </w:r>
          </w:p>
        </w:tc>
      </w:tr>
      <w:tr w:rsidR="0076426B" w:rsidRPr="009D700D" w14:paraId="6C74B40D" w14:textId="0E10F520" w:rsidTr="00B33C37">
        <w:trPr>
          <w:trHeight w:val="378"/>
        </w:trPr>
        <w:tc>
          <w:tcPr>
            <w:tcW w:w="3397" w:type="dxa"/>
            <w:noWrap/>
            <w:hideMark/>
          </w:tcPr>
          <w:p w14:paraId="367D237D" w14:textId="02BDB853" w:rsidR="0076426B" w:rsidRPr="009D700D" w:rsidRDefault="0076426B" w:rsidP="009A2447">
            <w:pPr>
              <w:jc w:val="both"/>
            </w:pPr>
            <w:r w:rsidRPr="009D700D">
              <w:t>Indicateur 1</w:t>
            </w:r>
          </w:p>
        </w:tc>
        <w:tc>
          <w:tcPr>
            <w:tcW w:w="1560" w:type="dxa"/>
            <w:noWrap/>
          </w:tcPr>
          <w:p w14:paraId="79C7437B" w14:textId="35BE9515" w:rsidR="0076426B" w:rsidRPr="009A2447" w:rsidRDefault="0076426B" w:rsidP="00C724CA">
            <w:pPr>
              <w:jc w:val="right"/>
              <w:rPr>
                <w:i/>
                <w:iCs/>
              </w:rPr>
            </w:pPr>
            <w:r w:rsidRPr="009A2447">
              <w:rPr>
                <w:i/>
                <w:iCs/>
              </w:rPr>
              <w:t>40</w:t>
            </w:r>
          </w:p>
        </w:tc>
        <w:tc>
          <w:tcPr>
            <w:tcW w:w="1842" w:type="dxa"/>
          </w:tcPr>
          <w:p w14:paraId="0D57A6E0" w14:textId="5E5A4144" w:rsidR="0076426B" w:rsidRPr="00C724CA" w:rsidRDefault="0076426B" w:rsidP="0076426B">
            <w:pPr>
              <w:jc w:val="right"/>
              <w:rPr>
                <w:b/>
                <w:bCs/>
              </w:rPr>
            </w:pPr>
            <w:r>
              <w:rPr>
                <w:b/>
                <w:bCs/>
              </w:rPr>
              <w:t>36</w:t>
            </w:r>
          </w:p>
        </w:tc>
        <w:tc>
          <w:tcPr>
            <w:tcW w:w="1842" w:type="dxa"/>
          </w:tcPr>
          <w:p w14:paraId="3B988BB7" w14:textId="18CEA9A4" w:rsidR="0076426B" w:rsidRPr="000C4BB3" w:rsidRDefault="0076426B" w:rsidP="0076426B">
            <w:pPr>
              <w:jc w:val="right"/>
            </w:pPr>
            <w:r w:rsidRPr="000C4BB3">
              <w:t>1</w:t>
            </w:r>
          </w:p>
        </w:tc>
      </w:tr>
      <w:tr w:rsidR="0076426B" w:rsidRPr="009D700D" w14:paraId="4A7E2A89" w14:textId="6634C312" w:rsidTr="00B33C37">
        <w:trPr>
          <w:trHeight w:val="378"/>
        </w:trPr>
        <w:tc>
          <w:tcPr>
            <w:tcW w:w="3397" w:type="dxa"/>
            <w:noWrap/>
            <w:hideMark/>
          </w:tcPr>
          <w:p w14:paraId="542C45FE" w14:textId="2CF5D04C" w:rsidR="0076426B" w:rsidRPr="009D700D" w:rsidRDefault="0076426B" w:rsidP="009A2447">
            <w:pPr>
              <w:jc w:val="both"/>
            </w:pPr>
            <w:r w:rsidRPr="009D700D">
              <w:t>Indicateur 2</w:t>
            </w:r>
          </w:p>
        </w:tc>
        <w:tc>
          <w:tcPr>
            <w:tcW w:w="1560" w:type="dxa"/>
            <w:noWrap/>
          </w:tcPr>
          <w:p w14:paraId="4185F113" w14:textId="5F58492D" w:rsidR="0076426B" w:rsidRPr="009A2447" w:rsidRDefault="0076426B" w:rsidP="00C724CA">
            <w:pPr>
              <w:jc w:val="right"/>
              <w:rPr>
                <w:i/>
                <w:iCs/>
              </w:rPr>
            </w:pPr>
            <w:r w:rsidRPr="009A2447">
              <w:rPr>
                <w:i/>
                <w:iCs/>
              </w:rPr>
              <w:t>30</w:t>
            </w:r>
          </w:p>
        </w:tc>
        <w:tc>
          <w:tcPr>
            <w:tcW w:w="1842" w:type="dxa"/>
          </w:tcPr>
          <w:p w14:paraId="63877A73" w14:textId="29CE4826" w:rsidR="0076426B" w:rsidRPr="00C724CA" w:rsidRDefault="0005186A" w:rsidP="0076426B">
            <w:pPr>
              <w:jc w:val="right"/>
              <w:rPr>
                <w:b/>
                <w:bCs/>
              </w:rPr>
            </w:pPr>
            <w:r>
              <w:rPr>
                <w:b/>
                <w:bCs/>
              </w:rPr>
              <w:t>30</w:t>
            </w:r>
          </w:p>
        </w:tc>
        <w:tc>
          <w:tcPr>
            <w:tcW w:w="1842" w:type="dxa"/>
          </w:tcPr>
          <w:p w14:paraId="112C7058" w14:textId="065241C0" w:rsidR="000C4BB3" w:rsidRPr="000C4BB3" w:rsidRDefault="0005186A" w:rsidP="000C4BB3">
            <w:pPr>
              <w:jc w:val="right"/>
            </w:pPr>
            <w:r>
              <w:t>1</w:t>
            </w:r>
          </w:p>
        </w:tc>
      </w:tr>
      <w:tr w:rsidR="0076426B" w:rsidRPr="009D700D" w14:paraId="38AE40EE" w14:textId="70DE9B89" w:rsidTr="00B33C37">
        <w:trPr>
          <w:trHeight w:val="378"/>
        </w:trPr>
        <w:tc>
          <w:tcPr>
            <w:tcW w:w="3397" w:type="dxa"/>
            <w:noWrap/>
            <w:hideMark/>
          </w:tcPr>
          <w:p w14:paraId="6532B24B" w14:textId="4354F2DD" w:rsidR="0076426B" w:rsidRPr="009D700D" w:rsidRDefault="0076426B" w:rsidP="009A2447">
            <w:pPr>
              <w:jc w:val="both"/>
            </w:pPr>
            <w:r w:rsidRPr="009D700D">
              <w:t>Indicateur 3</w:t>
            </w:r>
          </w:p>
        </w:tc>
        <w:tc>
          <w:tcPr>
            <w:tcW w:w="1560" w:type="dxa"/>
            <w:noWrap/>
          </w:tcPr>
          <w:p w14:paraId="64EECFFE" w14:textId="2DE1017C" w:rsidR="0076426B" w:rsidRPr="009A2447" w:rsidRDefault="0076426B" w:rsidP="00C724CA">
            <w:pPr>
              <w:jc w:val="right"/>
              <w:rPr>
                <w:i/>
                <w:iCs/>
              </w:rPr>
            </w:pPr>
            <w:r w:rsidRPr="009A2447">
              <w:rPr>
                <w:i/>
                <w:iCs/>
              </w:rPr>
              <w:t>15</w:t>
            </w:r>
          </w:p>
        </w:tc>
        <w:tc>
          <w:tcPr>
            <w:tcW w:w="1842" w:type="dxa"/>
          </w:tcPr>
          <w:p w14:paraId="20893D11" w14:textId="0B2603D5" w:rsidR="0076426B" w:rsidRPr="00C724CA" w:rsidRDefault="00131443" w:rsidP="0076426B">
            <w:pPr>
              <w:jc w:val="right"/>
              <w:rPr>
                <w:b/>
                <w:bCs/>
              </w:rPr>
            </w:pPr>
            <w:r>
              <w:rPr>
                <w:b/>
                <w:bCs/>
              </w:rPr>
              <w:t>Non calculable*</w:t>
            </w:r>
          </w:p>
        </w:tc>
        <w:tc>
          <w:tcPr>
            <w:tcW w:w="1842" w:type="dxa"/>
          </w:tcPr>
          <w:p w14:paraId="2701C01F" w14:textId="77777777" w:rsidR="0076426B" w:rsidRPr="000C4BB3" w:rsidRDefault="0076426B" w:rsidP="0076426B">
            <w:pPr>
              <w:jc w:val="right"/>
            </w:pPr>
          </w:p>
        </w:tc>
      </w:tr>
      <w:tr w:rsidR="0076426B" w:rsidRPr="009D700D" w14:paraId="7BB73616" w14:textId="093427BA" w:rsidTr="00B33C37">
        <w:trPr>
          <w:trHeight w:val="378"/>
        </w:trPr>
        <w:tc>
          <w:tcPr>
            <w:tcW w:w="3397" w:type="dxa"/>
            <w:noWrap/>
            <w:hideMark/>
          </w:tcPr>
          <w:p w14:paraId="0FFDB564" w14:textId="6D44AD14" w:rsidR="0076426B" w:rsidRPr="009D700D" w:rsidRDefault="0076426B" w:rsidP="009A2447">
            <w:pPr>
              <w:jc w:val="both"/>
            </w:pPr>
            <w:r w:rsidRPr="009D700D">
              <w:t>Indicateur 4</w:t>
            </w:r>
          </w:p>
        </w:tc>
        <w:tc>
          <w:tcPr>
            <w:tcW w:w="1560" w:type="dxa"/>
            <w:noWrap/>
          </w:tcPr>
          <w:p w14:paraId="13248962" w14:textId="00326DB6" w:rsidR="0076426B" w:rsidRPr="009A2447" w:rsidRDefault="0076426B" w:rsidP="00C724CA">
            <w:pPr>
              <w:jc w:val="right"/>
              <w:rPr>
                <w:i/>
                <w:iCs/>
              </w:rPr>
            </w:pPr>
            <w:r w:rsidRPr="009A2447">
              <w:rPr>
                <w:i/>
                <w:iCs/>
              </w:rPr>
              <w:t>15</w:t>
            </w:r>
          </w:p>
        </w:tc>
        <w:tc>
          <w:tcPr>
            <w:tcW w:w="1842" w:type="dxa"/>
          </w:tcPr>
          <w:p w14:paraId="174EB840" w14:textId="22401728" w:rsidR="0076426B" w:rsidRPr="00C724CA" w:rsidRDefault="000C4BB3" w:rsidP="0076426B">
            <w:pPr>
              <w:jc w:val="right"/>
              <w:rPr>
                <w:b/>
                <w:bCs/>
              </w:rPr>
            </w:pPr>
            <w:r>
              <w:rPr>
                <w:b/>
                <w:bCs/>
              </w:rPr>
              <w:t>1</w:t>
            </w:r>
            <w:r w:rsidR="00131443">
              <w:rPr>
                <w:b/>
                <w:bCs/>
              </w:rPr>
              <w:t>0</w:t>
            </w:r>
          </w:p>
        </w:tc>
        <w:tc>
          <w:tcPr>
            <w:tcW w:w="1842" w:type="dxa"/>
          </w:tcPr>
          <w:p w14:paraId="10ECFD92" w14:textId="77777777" w:rsidR="0076426B" w:rsidRPr="000C4BB3" w:rsidRDefault="000C4BB3" w:rsidP="0076426B">
            <w:pPr>
              <w:jc w:val="right"/>
            </w:pPr>
            <w:r w:rsidRPr="000C4BB3">
              <w:t>1</w:t>
            </w:r>
          </w:p>
          <w:p w14:paraId="30E4C278" w14:textId="373F6778" w:rsidR="000C4BB3" w:rsidRPr="000C4BB3" w:rsidRDefault="000C4BB3" w:rsidP="0076426B">
            <w:pPr>
              <w:jc w:val="right"/>
            </w:pPr>
          </w:p>
        </w:tc>
      </w:tr>
      <w:tr w:rsidR="0076426B" w:rsidRPr="009D700D" w14:paraId="2F13FC39" w14:textId="53053C66" w:rsidTr="00B33C37">
        <w:trPr>
          <w:trHeight w:val="378"/>
        </w:trPr>
        <w:tc>
          <w:tcPr>
            <w:tcW w:w="3397" w:type="dxa"/>
            <w:noWrap/>
          </w:tcPr>
          <w:p w14:paraId="64008998" w14:textId="416A53F1" w:rsidR="0076426B" w:rsidRPr="009D700D" w:rsidRDefault="0076426B" w:rsidP="009D700D">
            <w:pPr>
              <w:jc w:val="both"/>
            </w:pPr>
            <w:r>
              <w:t>Note finale</w:t>
            </w:r>
          </w:p>
        </w:tc>
        <w:tc>
          <w:tcPr>
            <w:tcW w:w="1560" w:type="dxa"/>
            <w:noWrap/>
          </w:tcPr>
          <w:p w14:paraId="03AB7653" w14:textId="798E258A" w:rsidR="0076426B" w:rsidRPr="009A2447" w:rsidRDefault="0076426B" w:rsidP="00C724CA">
            <w:pPr>
              <w:jc w:val="right"/>
              <w:rPr>
                <w:i/>
                <w:iCs/>
              </w:rPr>
            </w:pPr>
          </w:p>
        </w:tc>
        <w:tc>
          <w:tcPr>
            <w:tcW w:w="1842" w:type="dxa"/>
          </w:tcPr>
          <w:p w14:paraId="63E6FA0F" w14:textId="2458ABFF" w:rsidR="000C4BB3" w:rsidRPr="00C724CA" w:rsidRDefault="00131443" w:rsidP="000C4BB3">
            <w:pPr>
              <w:jc w:val="right"/>
              <w:rPr>
                <w:b/>
                <w:bCs/>
              </w:rPr>
            </w:pPr>
            <w:r>
              <w:rPr>
                <w:b/>
                <w:bCs/>
              </w:rPr>
              <w:t>76</w:t>
            </w:r>
            <w:r w:rsidR="000C4BB3">
              <w:rPr>
                <w:b/>
                <w:bCs/>
              </w:rPr>
              <w:t>/</w:t>
            </w:r>
            <w:r w:rsidR="0005186A">
              <w:rPr>
                <w:b/>
                <w:bCs/>
              </w:rPr>
              <w:t>8</w:t>
            </w:r>
            <w:r w:rsidR="000C4BB3">
              <w:rPr>
                <w:b/>
                <w:bCs/>
              </w:rPr>
              <w:t>5</w:t>
            </w:r>
          </w:p>
        </w:tc>
        <w:tc>
          <w:tcPr>
            <w:tcW w:w="1842" w:type="dxa"/>
          </w:tcPr>
          <w:p w14:paraId="0AEB07D9" w14:textId="77777777" w:rsidR="0076426B" w:rsidRPr="000C4BB3" w:rsidRDefault="0076426B" w:rsidP="0076426B">
            <w:pPr>
              <w:jc w:val="right"/>
            </w:pPr>
          </w:p>
        </w:tc>
      </w:tr>
      <w:tr w:rsidR="0076426B" w:rsidRPr="009D700D" w14:paraId="55FA0926" w14:textId="7598CDCB" w:rsidTr="00B33C37">
        <w:trPr>
          <w:trHeight w:val="378"/>
        </w:trPr>
        <w:tc>
          <w:tcPr>
            <w:tcW w:w="3397" w:type="dxa"/>
            <w:noWrap/>
          </w:tcPr>
          <w:p w14:paraId="7AEDE977" w14:textId="735D138B" w:rsidR="0076426B" w:rsidRPr="009A2447" w:rsidRDefault="0076426B" w:rsidP="009D700D">
            <w:pPr>
              <w:jc w:val="both"/>
              <w:rPr>
                <w:b/>
                <w:bCs/>
              </w:rPr>
            </w:pPr>
            <w:r w:rsidRPr="009A2447">
              <w:rPr>
                <w:b/>
                <w:bCs/>
              </w:rPr>
              <w:t>Note finale après pondération</w:t>
            </w:r>
          </w:p>
        </w:tc>
        <w:tc>
          <w:tcPr>
            <w:tcW w:w="1560" w:type="dxa"/>
            <w:noWrap/>
          </w:tcPr>
          <w:p w14:paraId="14226F1F" w14:textId="737E2CEA" w:rsidR="0076426B" w:rsidRPr="009A2447" w:rsidRDefault="0005186A" w:rsidP="00C724CA">
            <w:pPr>
              <w:jc w:val="right"/>
              <w:rPr>
                <w:b/>
                <w:bCs/>
              </w:rPr>
            </w:pPr>
            <w:r>
              <w:rPr>
                <w:b/>
                <w:bCs/>
              </w:rPr>
              <w:t>100</w:t>
            </w:r>
          </w:p>
        </w:tc>
        <w:tc>
          <w:tcPr>
            <w:tcW w:w="1842" w:type="dxa"/>
          </w:tcPr>
          <w:p w14:paraId="080DB987" w14:textId="75074D73" w:rsidR="0076426B" w:rsidRPr="009A2447" w:rsidRDefault="00131443" w:rsidP="000C4BB3">
            <w:pPr>
              <w:jc w:val="right"/>
              <w:rPr>
                <w:b/>
                <w:bCs/>
              </w:rPr>
            </w:pPr>
            <w:r>
              <w:rPr>
                <w:b/>
                <w:bCs/>
              </w:rPr>
              <w:t>89</w:t>
            </w:r>
            <w:r w:rsidR="000C4BB3">
              <w:rPr>
                <w:b/>
                <w:bCs/>
              </w:rPr>
              <w:t>/100</w:t>
            </w:r>
          </w:p>
        </w:tc>
        <w:tc>
          <w:tcPr>
            <w:tcW w:w="1842" w:type="dxa"/>
          </w:tcPr>
          <w:p w14:paraId="021BED45" w14:textId="77777777" w:rsidR="0076426B" w:rsidRPr="000C4BB3" w:rsidRDefault="0076426B" w:rsidP="009D700D">
            <w:pPr>
              <w:jc w:val="both"/>
            </w:pPr>
          </w:p>
        </w:tc>
      </w:tr>
    </w:tbl>
    <w:p w14:paraId="7DBCDA3C" w14:textId="46CDAEC7" w:rsidR="00727A38" w:rsidRPr="000C4BB3" w:rsidRDefault="00131443" w:rsidP="000C4BB3">
      <w:pPr>
        <w:jc w:val="both"/>
        <w:rPr>
          <w:i/>
          <w:iCs/>
          <w:sz w:val="20"/>
          <w:szCs w:val="20"/>
        </w:rPr>
      </w:pPr>
      <w:r>
        <w:rPr>
          <w:i/>
          <w:iCs/>
          <w:sz w:val="20"/>
          <w:szCs w:val="20"/>
        </w:rPr>
        <w:t>*</w:t>
      </w:r>
      <w:r w:rsidRPr="00131443">
        <w:rPr>
          <w:i/>
          <w:iCs/>
          <w:sz w:val="20"/>
          <w:szCs w:val="20"/>
        </w:rPr>
        <w:t>L</w:t>
      </w:r>
      <w:r w:rsidR="002C5A61">
        <w:rPr>
          <w:i/>
          <w:iCs/>
          <w:sz w:val="20"/>
          <w:szCs w:val="20"/>
        </w:rPr>
        <w:t>’établissement n’est pas concerné : l</w:t>
      </w:r>
      <w:r w:rsidRPr="00131443">
        <w:rPr>
          <w:i/>
          <w:iCs/>
          <w:sz w:val="20"/>
          <w:szCs w:val="20"/>
        </w:rPr>
        <w:t>'indicateur 3 n'est calculable que si 2 femmes et 2 hommes ont été promus dans un corps de catégorie supérieure au cours de l'année 2025.</w:t>
      </w:r>
    </w:p>
    <w:sectPr w:rsidR="00727A38" w:rsidRPr="000C4BB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6A202" w14:textId="77777777" w:rsidR="009D700D" w:rsidRDefault="009D700D" w:rsidP="009D700D">
      <w:r>
        <w:separator/>
      </w:r>
    </w:p>
  </w:endnote>
  <w:endnote w:type="continuationSeparator" w:id="0">
    <w:p w14:paraId="07278C18" w14:textId="77777777" w:rsidR="009D700D" w:rsidRDefault="009D700D" w:rsidP="009D7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5B050" w14:textId="295D4C6C" w:rsidR="00131443" w:rsidRDefault="00131443" w:rsidP="00131443">
    <w:pPr>
      <w:pStyle w:val="Pieddepage"/>
      <w:jc w:val="right"/>
    </w:pPr>
    <w:r>
      <w:t>Maëva Basaia - DRH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5F5B4" w14:textId="77777777" w:rsidR="009D700D" w:rsidRDefault="009D700D" w:rsidP="009D700D">
      <w:r>
        <w:separator/>
      </w:r>
    </w:p>
  </w:footnote>
  <w:footnote w:type="continuationSeparator" w:id="0">
    <w:p w14:paraId="095ECF60" w14:textId="77777777" w:rsidR="009D700D" w:rsidRDefault="009D700D" w:rsidP="009D7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01067" w14:textId="7BBCE763" w:rsidR="009D700D" w:rsidRDefault="009D700D">
    <w:pPr>
      <w:pStyle w:val="En-tte"/>
    </w:pPr>
    <w:r>
      <w:rPr>
        <w:noProof/>
        <w:color w:val="1F497D"/>
        <w:lang w:eastAsia="fr-FR"/>
      </w:rPr>
      <w:drawing>
        <wp:inline distT="0" distB="0" distL="0" distR="0" wp14:anchorId="5C53792A" wp14:editId="0744B79A">
          <wp:extent cx="1104900" cy="587965"/>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10058" cy="5907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DD398C"/>
    <w:multiLevelType w:val="multilevel"/>
    <w:tmpl w:val="EBCEE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D2501F"/>
    <w:multiLevelType w:val="multilevel"/>
    <w:tmpl w:val="E3943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37465942">
    <w:abstractNumId w:val="1"/>
  </w:num>
  <w:num w:numId="2" w16cid:durableId="267196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00D"/>
    <w:rsid w:val="0005186A"/>
    <w:rsid w:val="000C4BB3"/>
    <w:rsid w:val="00131443"/>
    <w:rsid w:val="001B0F81"/>
    <w:rsid w:val="002C5A61"/>
    <w:rsid w:val="00406CCC"/>
    <w:rsid w:val="005D1CA8"/>
    <w:rsid w:val="00727A38"/>
    <w:rsid w:val="0076426B"/>
    <w:rsid w:val="008D5C84"/>
    <w:rsid w:val="00917E96"/>
    <w:rsid w:val="009A2447"/>
    <w:rsid w:val="009D700D"/>
    <w:rsid w:val="00BD6A13"/>
    <w:rsid w:val="00C724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C0A1E"/>
  <w15:chartTrackingRefBased/>
  <w15:docId w15:val="{DD5B6409-E7DE-49F5-BF20-1DD5C4A26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00D"/>
    <w:pPr>
      <w:spacing w:after="0" w:line="240" w:lineRule="auto"/>
    </w:pPr>
    <w:rPr>
      <w:rFonts w:ascii="Calibri" w:hAnsi="Calibri" w:cs="Calibri"/>
      <w:kern w:val="0"/>
      <w14:ligatures w14:val="none"/>
    </w:rPr>
  </w:style>
  <w:style w:type="paragraph" w:styleId="Titre1">
    <w:name w:val="heading 1"/>
    <w:basedOn w:val="Normal"/>
    <w:next w:val="Normal"/>
    <w:link w:val="Titre1Car"/>
    <w:uiPriority w:val="9"/>
    <w:qFormat/>
    <w:rsid w:val="009D700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9D700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9D700D"/>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9D700D"/>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9D700D"/>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9D700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D700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D700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D700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D700D"/>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9D700D"/>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9D700D"/>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9D700D"/>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9D700D"/>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9D700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D700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D700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D700D"/>
    <w:rPr>
      <w:rFonts w:eastAsiaTheme="majorEastAsia" w:cstheme="majorBidi"/>
      <w:color w:val="272727" w:themeColor="text1" w:themeTint="D8"/>
    </w:rPr>
  </w:style>
  <w:style w:type="paragraph" w:styleId="Titre">
    <w:name w:val="Title"/>
    <w:basedOn w:val="Normal"/>
    <w:next w:val="Normal"/>
    <w:link w:val="TitreCar"/>
    <w:uiPriority w:val="10"/>
    <w:qFormat/>
    <w:rsid w:val="009D700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D700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D700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D700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D700D"/>
    <w:pPr>
      <w:spacing w:before="160"/>
      <w:jc w:val="center"/>
    </w:pPr>
    <w:rPr>
      <w:i/>
      <w:iCs/>
      <w:color w:val="404040" w:themeColor="text1" w:themeTint="BF"/>
    </w:rPr>
  </w:style>
  <w:style w:type="character" w:customStyle="1" w:styleId="CitationCar">
    <w:name w:val="Citation Car"/>
    <w:basedOn w:val="Policepardfaut"/>
    <w:link w:val="Citation"/>
    <w:uiPriority w:val="29"/>
    <w:rsid w:val="009D700D"/>
    <w:rPr>
      <w:i/>
      <w:iCs/>
      <w:color w:val="404040" w:themeColor="text1" w:themeTint="BF"/>
    </w:rPr>
  </w:style>
  <w:style w:type="paragraph" w:styleId="Paragraphedeliste">
    <w:name w:val="List Paragraph"/>
    <w:basedOn w:val="Normal"/>
    <w:uiPriority w:val="34"/>
    <w:qFormat/>
    <w:rsid w:val="009D700D"/>
    <w:pPr>
      <w:ind w:left="720"/>
      <w:contextualSpacing/>
    </w:pPr>
  </w:style>
  <w:style w:type="character" w:styleId="Accentuationintense">
    <w:name w:val="Intense Emphasis"/>
    <w:basedOn w:val="Policepardfaut"/>
    <w:uiPriority w:val="21"/>
    <w:qFormat/>
    <w:rsid w:val="009D700D"/>
    <w:rPr>
      <w:i/>
      <w:iCs/>
      <w:color w:val="2E74B5" w:themeColor="accent1" w:themeShade="BF"/>
    </w:rPr>
  </w:style>
  <w:style w:type="paragraph" w:styleId="Citationintense">
    <w:name w:val="Intense Quote"/>
    <w:basedOn w:val="Normal"/>
    <w:next w:val="Normal"/>
    <w:link w:val="CitationintenseCar"/>
    <w:uiPriority w:val="30"/>
    <w:qFormat/>
    <w:rsid w:val="009D700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9D700D"/>
    <w:rPr>
      <w:i/>
      <w:iCs/>
      <w:color w:val="2E74B5" w:themeColor="accent1" w:themeShade="BF"/>
    </w:rPr>
  </w:style>
  <w:style w:type="character" w:styleId="Rfrenceintense">
    <w:name w:val="Intense Reference"/>
    <w:basedOn w:val="Policepardfaut"/>
    <w:uiPriority w:val="32"/>
    <w:qFormat/>
    <w:rsid w:val="009D700D"/>
    <w:rPr>
      <w:b/>
      <w:bCs/>
      <w:smallCaps/>
      <w:color w:val="2E74B5" w:themeColor="accent1" w:themeShade="BF"/>
      <w:spacing w:val="5"/>
    </w:rPr>
  </w:style>
  <w:style w:type="table" w:styleId="Grilledutableau">
    <w:name w:val="Table Grid"/>
    <w:basedOn w:val="TableauNormal"/>
    <w:uiPriority w:val="39"/>
    <w:rsid w:val="009D7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9D700D"/>
    <w:pPr>
      <w:tabs>
        <w:tab w:val="center" w:pos="4536"/>
        <w:tab w:val="right" w:pos="9072"/>
      </w:tabs>
    </w:pPr>
  </w:style>
  <w:style w:type="character" w:customStyle="1" w:styleId="En-tteCar">
    <w:name w:val="En-tête Car"/>
    <w:basedOn w:val="Policepardfaut"/>
    <w:link w:val="En-tte"/>
    <w:uiPriority w:val="99"/>
    <w:rsid w:val="009D700D"/>
    <w:rPr>
      <w:rFonts w:ascii="Calibri" w:hAnsi="Calibri" w:cs="Calibri"/>
      <w:kern w:val="0"/>
      <w14:ligatures w14:val="none"/>
    </w:rPr>
  </w:style>
  <w:style w:type="paragraph" w:styleId="Pieddepage">
    <w:name w:val="footer"/>
    <w:basedOn w:val="Normal"/>
    <w:link w:val="PieddepageCar"/>
    <w:uiPriority w:val="99"/>
    <w:unhideWhenUsed/>
    <w:rsid w:val="009D700D"/>
    <w:pPr>
      <w:tabs>
        <w:tab w:val="center" w:pos="4536"/>
        <w:tab w:val="right" w:pos="9072"/>
      </w:tabs>
    </w:pPr>
  </w:style>
  <w:style w:type="character" w:customStyle="1" w:styleId="PieddepageCar">
    <w:name w:val="Pied de page Car"/>
    <w:basedOn w:val="Policepardfaut"/>
    <w:link w:val="Pieddepage"/>
    <w:uiPriority w:val="99"/>
    <w:rsid w:val="009D700D"/>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677183">
      <w:bodyDiv w:val="1"/>
      <w:marLeft w:val="0"/>
      <w:marRight w:val="0"/>
      <w:marTop w:val="0"/>
      <w:marBottom w:val="0"/>
      <w:divBdr>
        <w:top w:val="none" w:sz="0" w:space="0" w:color="auto"/>
        <w:left w:val="none" w:sz="0" w:space="0" w:color="auto"/>
        <w:bottom w:val="none" w:sz="0" w:space="0" w:color="auto"/>
        <w:right w:val="none" w:sz="0" w:space="0" w:color="auto"/>
      </w:divBdr>
    </w:div>
    <w:div w:id="1333676013">
      <w:bodyDiv w:val="1"/>
      <w:marLeft w:val="0"/>
      <w:marRight w:val="0"/>
      <w:marTop w:val="0"/>
      <w:marBottom w:val="0"/>
      <w:divBdr>
        <w:top w:val="none" w:sz="0" w:space="0" w:color="auto"/>
        <w:left w:val="none" w:sz="0" w:space="0" w:color="auto"/>
        <w:bottom w:val="none" w:sz="0" w:space="0" w:color="auto"/>
        <w:right w:val="none" w:sz="0" w:space="0" w:color="auto"/>
      </w:divBdr>
    </w:div>
    <w:div w:id="204459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2.jpg@01DD5808.F6E15C90" TargetMode="External"/><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337</Words>
  <Characters>1857</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CHBB</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BASAIA Maeva</dc:creator>
  <cp:keywords/>
  <dc:description/>
  <cp:lastModifiedBy>BASAIA Maeva</cp:lastModifiedBy>
  <cp:revision>7</cp:revision>
  <dcterms:created xsi:type="dcterms:W3CDTF">2026-10-11T12:36:00Z</dcterms:created>
  <dcterms:modified xsi:type="dcterms:W3CDTF">2026-10-14T20:00:00Z</dcterms:modified>
</cp:coreProperties>
</file>